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3</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1120007393</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4</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9,650,000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1.9300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0.3891</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525.0000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105.8468</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0.0500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0.0500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0.3891</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12.85</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1.5044</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28.2570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29.5380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29.5020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29.7920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29.6960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30.4030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30.3880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29.9290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37.4890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33.7750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1.3380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33.1890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1.5044</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118</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-7,123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-7,394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-7,672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-7,955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-8,244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-2,975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-3,309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-3,646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-3,985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-4,327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-594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-961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-1,329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-1,696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698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349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-349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-699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-459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-732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-1,009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-1,288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-1,570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-3,610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-3,774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-3,944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-4,121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-4,303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-8,266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-8,335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-8,409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-8,489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-8,576</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208</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115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118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118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118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4</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8</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