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3</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1120007393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4</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8,950,000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1.7900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0.3609</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600.0000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120.9677</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0.1000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0.3609</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27.71</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1.5044</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28.2570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29.5020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29.7920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29.6960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30.4030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30.3880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37.4890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33.7750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1.3380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1.5044</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135</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-13,723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-14,544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-15,368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-16,194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-17,022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-5,218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-6,053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-6,887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-7,721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-8,555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-944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-1,692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-2,443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-3,197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1,140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575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-583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-1,175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-871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-1,216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-1,575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-1,948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-2,334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-5,382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-5,538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-5,708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-5,892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-6,089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-11,330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-11,377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-11,433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-11,496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-11,567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275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75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85</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4</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