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1120007711</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9</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5,200,000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1.0400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0.9905</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125.0000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119.0476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0.5000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0.5000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0.9905</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50.48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520</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-19,823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-20,586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-21,359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-22,143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-22,935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-7,753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-8,627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-9,502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-10,377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-11,252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-1,458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-2,257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-3,059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-3,864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1,091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554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-570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-1,153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-1,474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-1,719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-1,986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-2,584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-6,476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-6,541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-6,713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-6,821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-12,336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-12,344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-12,356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-12,372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-12,393</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1,925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1,900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1,900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1,875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625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