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10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1120007875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6,000,000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1.2000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0.2386</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680.0000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135.1889</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0.2000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0.2000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0.2386</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83.83</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29.7920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29.6960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30.4030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30.3880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37.4890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33.7750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1.3380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33.1890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118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-22,073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-23,917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-25,762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-27,608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-29,454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-7,518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-9,084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-10,661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-12,251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-13,851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-1,208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-2,358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-3,535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-4,738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1,326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682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-719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-1,474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-1,415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-1,694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-2,003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-2,345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-2,718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-6,373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-6,455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-6,553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-6,669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-6,803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-12,174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-12,189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-12,208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-12,232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-12,264</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480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490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490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490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360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240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