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富邦金融控股股份有限公司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富邦金融控股股份有限公司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富邦金融控股股份有限公司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富邦金融控股股份有限公司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富邦金融控股股份有限公司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6,300,000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1.2600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2.1284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68.0000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114.8649</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0.6600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0.6600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2.1284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31.01</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富邦金法興2B購01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富邦金第一28購01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富邦金中信25購01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富邦金國泰26售01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35.9850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49.6500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49.6500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富邦金康和25購01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60.8000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60.8000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59.8000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59.8000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富邦金台新29購01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56.3000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56.8000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58.2000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富邦金兆豐31購01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948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-14,745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-15,254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-15,772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-16,300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-16,836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-6,080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-6,694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-7,309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-7,926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-8,545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-656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-1,267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-1,879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-2,490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-3,102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958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483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-489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-984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-976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-1,243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-1,524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-1,818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-2,125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-5,353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-5,449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-5,557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-5,678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-5,811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-10,860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-10,879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-10,903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-10,932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-10,967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2,673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2,640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2,640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2,607</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2,607</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2,211</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2,178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2,178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2,178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2,178</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1,584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1,617</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1,617</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1,617</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1,650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957</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990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990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1,023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1,056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429</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462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495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561</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198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198</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66</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