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新光金融控股股份有限公司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新光金融控股股份有限公司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新光金融控股股份有限公司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10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1120007875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九</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新光金融控股股份有限公司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新光金融控股股份有限公司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3,450,000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0.6900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8.0986</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9.5000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111.5023</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1.0000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1.0000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8.0986</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12.35</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新光金法興32購01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8.5200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1.4543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新光金元大25購01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9.1800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9.0800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8.9100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新光金凱基26購01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8.6900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新光金麥證26購01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新光金元大26購01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新光金麥證25售01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新光金麥證25購02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8.5100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8.9100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新光金國票26購01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8.8600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8.8400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8.7700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8.7700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8.7400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8.7400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8.9600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8.8200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8.7100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8.0100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新光金元大29售02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新光金麥證31購01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8.4200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2,156</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-2,015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-2,163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-2,312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-2,462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-2,613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-765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-924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-1,084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-1,244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-1,405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-288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-447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-605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285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-286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-263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-376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-491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-917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-988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-1,062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-1,138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-1,217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-2,240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-2,275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-2,313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-2,354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-2,397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3,800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3,800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3,750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3,750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3,750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1,400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1,450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1,450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900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950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