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6</w:t>
            </w:r>
            <w:r w:rsidRPr="00F8206F">
              <w:rPr>
                <w:rFonts w:ascii="DFKai-SB" w:eastAsia="DFKai-SB" w:hAnsi="DFKai-SB" w:cs="MingLiU" w:hint="eastAsia"/>
                <w:lang w:val="en-US" w:eastAsia="zh-CN"/>
              </w:rPr>
              <w:t>月</w:t>
            </w:r>
            <w:r w:rsidRPr="000B61C4">
              <w:rPr>
                <w:rFonts w:ascii="DFKai-SB" w:eastAsia="DFKai-SB" w:hAnsi="DFKai-SB" w:cs="MingLiU"/>
              </w:rPr>
              <w:t xml:space="preserve">28</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1120011415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6</w:t>
            </w:r>
            <w:r w:rsidR="002A0001" w:rsidRPr="00F8206F">
              <w:rPr>
                <w:rFonts w:ascii="DFKai-SB" w:eastAsia="DFKai-SB" w:cs="DFKai-SB" w:hint="eastAsia"/>
              </w:rPr>
              <w:t>月</w:t>
            </w:r>
            <w:r w:rsidR="00E15802" w:rsidRPr="00F8206F">
              <w:rPr>
                <w:rFonts w:ascii="DFKai-SB" w:eastAsia="DFKai-SB" w:cs="DFKai-SB" w:hint="eastAsia"/>
              </w:rPr>
              <w:t xml:space="preserve">29</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9,300,000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1.8600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0.2676</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840.0000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120.8633</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0.2676</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18.68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112年6月29日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1.4876</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736.9900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658.4200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930.2700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725.2500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39.0770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90.0000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474.1700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612.3500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50.8930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831.8300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461.5200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39.4550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846.2800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483.2000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785.7600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621.3900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910.2000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628.6100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658.4200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818.9100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r w:rsidRPr="00F8206F">
              <w:rPr>
                <w:rFonts w:eastAsia="DFKai-SB"/>
                <w:color w:val="000000"/>
              </w:rPr>
              <w:t>t,s,r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80</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-8,204,616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-8,778,855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-9,354,423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-9,931,202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-10,509,084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-3,090,704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-3,674,890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-4,258,836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-4,842,529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-5,425,959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19,320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-525,772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-1,071,308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-1,617,230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-2,163,488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912,964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458,117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-461,158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-925,144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-417,770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-745,435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-1,079,810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-1,420,534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-1,767,265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-3,712,068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-3,905,786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-4,107,912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-4,318,177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-4,536,310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-8,465,560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-8,552,710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-8,646,868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-8,748,043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-8,856,223</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lastRenderedPageBreak/>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6</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29</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3</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2.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12550</Words>
  <Characters>4063</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4</cp:revision>
  <cp:lastPrinted>2019-11-19T10:17:00Z</cp:lastPrinted>
  <dcterms:created xsi:type="dcterms:W3CDTF">2023-03-22T01:24:00Z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