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r w:rsidRPr="00E42081">
              <w:rPr>
                <w:rFonts w:ascii="DFKai-SB" w:eastAsia="DFKai-SB" w:hAnsi="DFKai-SB" w:cs="Times New Roman"/>
                <w:b/>
                <w:bCs/>
                <w:sz w:val="28"/>
                <w:szCs w:val="28"/>
              </w:rPr>
              <w:t>鴻海精密工業股份有限公司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鴻海精密工業股份有限公司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鴻海精密工業股份有限公司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7</w:t>
            </w:r>
            <w:r w:rsidRPr="00F8206F">
              <w:rPr>
                <w:rFonts w:ascii="DFKai-SB" w:eastAsia="DFKai-SB" w:hAnsi="DFKai-SB" w:cs="MingLiU" w:hint="eastAsia"/>
                <w:lang w:val="en-US" w:eastAsia="zh-CN"/>
              </w:rPr>
              <w:t>月</w:t>
            </w:r>
            <w:r w:rsidRPr="000B61C4">
              <w:rPr>
                <w:rFonts w:ascii="DFKai-SB" w:eastAsia="DFKai-SB" w:hAnsi="DFKai-SB" w:cs="MingLiU"/>
              </w:rPr>
              <w:t xml:space="preserve">19</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1120013067</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7</w:t>
            </w:r>
            <w:r w:rsidR="002A0001" w:rsidRPr="00F8206F">
              <w:rPr>
                <w:rFonts w:ascii="DFKai-SB" w:eastAsia="DFKai-SB" w:cs="DFKai-SB" w:hint="eastAsia"/>
              </w:rPr>
              <w:t>月</w:t>
            </w:r>
            <w:r w:rsidR="00E15802" w:rsidRPr="00F8206F">
              <w:rPr>
                <w:rFonts w:ascii="DFKai-SB" w:eastAsia="DFKai-SB" w:cs="DFKai-SB" w:hint="eastAsia"/>
              </w:rPr>
              <w:t xml:space="preserve">20</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鴻海精密工業股份有限公司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鴻海精密工業股份有限公司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3,150,000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0.6300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0.5806</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135.0000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124.4240</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0.1800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0.1800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0.5806</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31.00</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鴻海法興31購07</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112年7月20日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1.4773</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134.9800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92.5300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96.3500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94.6300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84.7800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94.3200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122.5800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66.7700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73.4500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138.7900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78.2200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93.9200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134.0200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141.6600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79.1700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146.9000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137.8400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116.8500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137.3600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29.4650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129.2600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127.3500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148.3300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鴻海第一3A購01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139.2700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129.2600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122.5800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26.9310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93.0100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150.7200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71.5400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141.6600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82.9900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152.6300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152.6300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27.3380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158.1100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31.9030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141.0300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157.4000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160.2600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139.2700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31.3800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113.6600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123.0000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155.8800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145.8800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1.4773</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權證符合不報價時機者；</w:t>
            </w:r>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r w:rsidRPr="00F8206F">
              <w:rPr>
                <w:rFonts w:ascii="Times New Roman" w:eastAsia="DFKai-SB" w:hAnsi="Times New Roman" w:cs="Times New Roman" w:hint="eastAsia"/>
              </w:rPr>
              <w:t>者；</w:t>
            </w:r>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r w:rsidRPr="00F8206F">
              <w:rPr>
                <w:rFonts w:eastAsia="DFKai-SB"/>
                <w:color w:val="000000"/>
              </w:rPr>
              <w:t>t,s,r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風險：指時間變動對本權證價格之影響；</w:t>
            </w:r>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風險：係指標的證券股價變動對本權證價格之影響；</w:t>
            </w:r>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風險：指利率變動對本權證價格之影響；</w:t>
            </w:r>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風險：係指標的證券股價波動性變動對本權證價格之影響；</w:t>
            </w:r>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(1)delta</w:t>
            </w:r>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(2)gamma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218</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-5,099,923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-5,436,375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-5,773,377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-6,110,868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-6,448,796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-1,883,692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-2,218,761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-2,553,710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-2,888,531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-3,223,218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-14,488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-309,990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-606,737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-904,617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-1,203,532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449,427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226,652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-230,262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-463,888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-358,521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-495,201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-637,666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-785,656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-938,917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-2,122,607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-2,186,203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-2,255,141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-2,329,381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-2,408,859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-4,448,799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-4,469,000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-4,492,250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-4,518,707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-4,548,505</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594,000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594,000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594,000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594,000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594,000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477,000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477,000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486,000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486,000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486,000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351,000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351,000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360,000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369,000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369,000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225,000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234,000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243,000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243,000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252,000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117,000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126,000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135,000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144,000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153,000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45,000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54,000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63,000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63,000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72,000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18,000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27,000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P&lt;(S-B)/(1+n)</w:t>
            </w:r>
            <w:r w:rsidRPr="00F8206F">
              <w:rPr>
                <w:rFonts w:ascii="Times New Roman" w:eastAsia="DFKai-SB" w:hAnsi="Times New Roman" w:cs="Times New Roman" w:hint="eastAsia"/>
              </w:rPr>
              <w:t>〕</w:t>
            </w:r>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P&gt;=(S-B)/(1+n)</w:t>
            </w:r>
            <w:r w:rsidRPr="00F8206F">
              <w:rPr>
                <w:rFonts w:ascii="Times New Roman" w:eastAsia="DFKai-SB" w:hAnsi="Times New Roman" w:cs="Times New Roman" w:hint="eastAsia"/>
              </w:rPr>
              <w:t>〕</w:t>
            </w:r>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為消滅、下市公司、且存續公司為權證可發行標的</w:t>
            </w:r>
            <w:r w:rsidRPr="00F8206F">
              <w:rPr>
                <w:rFonts w:ascii="DFKai-SB" w:eastAsia="DFKai-SB" w:cs="DFKai-SB"/>
              </w:rPr>
              <w:t>;</w:t>
            </w:r>
            <w:r w:rsidRPr="00F8206F">
              <w:rPr>
                <w:rFonts w:ascii="DFKai-SB" w:eastAsia="DFKai-SB" w:cs="DFKai-SB" w:hint="eastAsia"/>
              </w:rPr>
              <w:t>或存續公司非權證可發行標的，但為國內上市金融控股公司，或為直接持有原標的證券發行公司百分之百已發行股份之國內上市投資控股公司）之調整公式：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K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lastRenderedPageBreak/>
                    <w:t>=  K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  N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標的證券發行公司因以現金為對價進行百分之百股權之公司合併、收購及股份轉換而消滅或下市，本權證以其公告之調整後現金對價為標的價格，依本條（五）１</w:t>
            </w:r>
            <w:r w:rsidRPr="00F8206F">
              <w:rPr>
                <w:rFonts w:ascii="DFKai-SB" w:eastAsia="DFKai-SB" w:cs="DFKai-SB"/>
              </w:rPr>
              <w:t>.</w:t>
            </w:r>
            <w:r w:rsidRPr="00F8206F">
              <w:rPr>
                <w:rFonts w:ascii="DFKai-SB" w:eastAsia="DFKai-SB" w:cs="DFKai-SB" w:hint="eastAsia"/>
              </w:rPr>
              <w:t>之結算辦法進行結算。</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１.之結算辦法進行結算，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7</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20</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7</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24</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2.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12550</Words>
  <Characters>4063</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4</cp:revision>
  <cp:lastPrinted>2019-11-19T10:17:00Z</cp:lastPrinted>
  <dcterms:created xsi:type="dcterms:W3CDTF">2023-03-22T01:24:00Z</dcterms:created>
  <dcterms:modified xsi:type="dcterms:W3CDTF">2023-06-06T12:19:00Z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