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5</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3,550,000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0.7100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0.6667</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120.0000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112.6761</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0.6667</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22.50</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鴻海法興33購02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27.3380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28.3000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31.3800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1.4770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鴻海國泰34購03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鴻海群益34購06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鴻海凱基34購04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鴻海群益32購06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鴻海凱基33購08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120.0000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7</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