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4</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1120016416</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5</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3,550,000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0.7100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0.6667</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120.0000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112.6761</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0.1500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0.1500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0.6667</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22.50</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鴻海法興33購02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112年9月5日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106.5000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1.4802</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27.3380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31.3800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鴻海台新35購01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鴻海元富48購01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256</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-5,530,344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-5,720,269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-5,913,950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-6,111,102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-6,311,465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-2,319,777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-2,550,260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-2,781,896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-3,014,575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-3,248,199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-249,956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-490,349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-730,655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-970,873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-1,210,999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413,021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207,167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-208,358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-417,799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-368,023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-503,786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-643,554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-787,060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-934,054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-2,314,722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-2,377,613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-2,445,297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-2,517,654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-2,594,548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-4,946,004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-4,963,835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-4,984,509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-5,008,160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-5,034,897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622,500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532,500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517,500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277,500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285,000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7</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