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4</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1120016416</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5</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4,850,000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0.9700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0.1741</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560.0000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100.5386</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0.0200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0.0200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0.1741</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11.48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台積電法興33購01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112年9月5日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557.0000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1.4802</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488.7100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421.7800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432.1200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336.5900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378.1700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33.1890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648.4400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32.4790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619.1000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789.3000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370.7600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629.0500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726.6000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726.6000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253.8100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28.1600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473.0300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268.7400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783.1300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816.1800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278.7000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842.0600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29.7480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28.4490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599.5500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27.7460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28.7560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27.5570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54</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-3,280,477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-3,354,625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-3,432,724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-3,514,595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-3,600,058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-1,452,127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-1,560,989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-1,672,656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-1,786,928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-1,903,625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-164,639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-304,312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-444,984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-586,566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-728,976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300,086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150,018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-149,967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-299,880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-295,359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-422,541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-550,580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-679,398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-808,925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-1,987,049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-2,065,021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-2,145,658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-2,228,793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-2,314,270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-4,522,733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-4,553,098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-4,586,268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-4,622,210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-4,660,880</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71,000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56,000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38,000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7</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