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同欣電子工業股份有限公司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同欣電子工業股份有限公司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同欣電子工業股份有限公司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1120016820</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八</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同欣電子工業股份有限公司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同欣電子工業股份有限公司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3,300,000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0.6600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0.4714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180.0000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128.5714</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0.0800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0.0800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0.4714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16.97</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同欣電法興35購01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140.0000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180.0000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1.4863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154.7500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47.1300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同欣電中信2A售02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162.1200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164.3300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198.1500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85.0000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57.1470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169.2300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同欣電兆豐36購01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同欣電麥證33購01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123</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-2,053,285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-2,276,233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-2,499,089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-2,721,845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-2,944,495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-700,696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-914,672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-1,128,569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-1,342,381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-1,556,098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102,618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-89,853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-282,787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-476,145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-669,888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319,958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160,675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-161,977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-325,174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-46,491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-164,689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-285,228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-407,991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-532,865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-944,195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-1,019,995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-1,098,633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-1,180,013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-1,264,043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-2,269,815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-2,309,584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-2,351,914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-2,396,786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-2,444,172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36,000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