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台灣積體電路製造股份有限公司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台灣積體電路製造股份有限公司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proofErr w:type="gramStart"/>
            <w:r w:rsidRPr="00F8206F">
              <w:rPr>
                <w:rFonts w:ascii="DFKai-SB" w:eastAsia="DFKai-SB" w:hAnsi="DFKai-SB" w:cs="Times New Roman"/>
                <w:bCs/>
              </w:rPr>
              <w:t>台灣積體電路製造股份有限公司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10</w:t>
            </w:r>
            <w:r w:rsidRPr="00F8206F">
              <w:rPr>
                <w:rFonts w:ascii="DFKai-SB" w:eastAsia="DFKai-SB" w:hAnsi="DFKai-SB" w:cs="MingLiU" w:hint="eastAsia"/>
                <w:lang w:val="en-US" w:eastAsia="zh-CN"/>
              </w:rPr>
              <w:t>月</w:t>
            </w:r>
            <w:r w:rsidRPr="000B61C4">
              <w:rPr>
                <w:rFonts w:ascii="DFKai-SB" w:eastAsia="DFKai-SB" w:hAnsi="DFKai-SB" w:cs="MingLiU"/>
              </w:rPr>
              <w:t xml:space="preserve">3</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1120018478</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10</w:t>
            </w:r>
            <w:r w:rsidR="002A0001" w:rsidRPr="00F8206F">
              <w:rPr>
                <w:rFonts w:ascii="DFKai-SB" w:eastAsia="DFKai-SB" w:cs="DFKai-SB" w:hint="eastAsia"/>
              </w:rPr>
              <w:t>月</w:t>
            </w:r>
            <w:r w:rsidR="00E15802" w:rsidRPr="00F8206F">
              <w:rPr>
                <w:rFonts w:ascii="DFKai-SB" w:eastAsia="DFKai-SB" w:cs="DFKai-SB" w:hint="eastAsia"/>
              </w:rPr>
              <w:t xml:space="preserve">4</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台灣積體電路製造股份有限公司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台灣積體電路製造股份有限公司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5,300,000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proofErr w:type="gramStart"/>
            <w:r w:rsidR="002A0001" w:rsidRPr="00F8206F">
              <w:rPr>
                <w:rFonts w:ascii="DFKai-SB" w:eastAsia="DFKai-SB" w:cs="DFKai-SB" w:hint="eastAsia"/>
              </w:rPr>
              <w:t>新台幣</w:t>
            </w:r>
            <w:r w:rsidR="00875433" w:rsidRPr="00F8206F">
              <w:rPr>
                <w:rFonts w:ascii="DFKai-SB" w:eastAsia="DFKai-SB" w:cs="DFKai-SB"/>
              </w:rPr>
              <w:t>1.0600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0.2004</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proofErr w:type="gramStart"/>
            <w:r w:rsidR="007909C2" w:rsidRPr="00F8206F">
              <w:rPr>
                <w:rFonts w:ascii="DFKai-SB" w:eastAsia="DFKai-SB" w:cs="DFKai-SB" w:hint="eastAsia"/>
              </w:rPr>
              <w:t>新台幣</w:t>
            </w:r>
            <w:r w:rsidR="00E15802" w:rsidRPr="00F8206F">
              <w:rPr>
                <w:rFonts w:ascii="DFKai-SB" w:eastAsia="DFKai-SB" w:cs="DFKai-SB" w:hint="eastAsia"/>
              </w:rPr>
              <w:t>610.0000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115.3119</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proofErr w:type="gramStart"/>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proofErr w:type="gramStart"/>
            <w:r w:rsidR="0004096F" w:rsidRPr="00F8206F">
              <w:rPr>
                <w:rFonts w:ascii="DFKai-SB" w:eastAsia="DFKai-SB" w:cs="DFKai-SB"/>
              </w:rPr>
              <w:t>1:</w:t>
            </w:r>
            <w:r w:rsidR="00C54834" w:rsidRPr="00F8206F">
              <w:rPr>
                <w:rFonts w:ascii="DFKai-SB" w:eastAsia="DFKai-SB" w:cs="DFKai-SB"/>
              </w:rPr>
              <w:t>0.0600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0.0600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0.2004</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29.94</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proofErr w:type="gramEnd"/>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proofErr w:type="gramStart"/>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台積電法興34購03</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112年10月4日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529.0000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610.0000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1.5203</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408.1800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474.2700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352.3900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391.5500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416.0200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380.6600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419.4400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464.9600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391.5500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469.8500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384.2000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386.6500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381.7500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323.0200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391.5500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244.7200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508.0300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391.5500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595.1500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592.7900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608.8400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714.5700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477.6900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611.7900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474.7400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401.3300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670.5100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342.6100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419.3500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553.7700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295.3500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315.0400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334.7200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354.4100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344.5800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315.0400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462.7100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536.5500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344.5800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482.4000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374.1100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571.0100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536.5500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667.2600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354.4100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423.3400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34.5160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453.8500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561.1600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536.5500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468.5500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403.6400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34.5130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35.8700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354.4100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35.4600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431.2100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679.3000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462.7100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413.4800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33.5350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386.0300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403.8500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413.7400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33.8410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615.6700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435.5200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30.7950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784.9200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621.6000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32.4270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376.1300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712.6700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744.3500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797.7900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1.5330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687.9200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391.9600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739.4000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421.1700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488.4800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481.5400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610.7100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603.7900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453.8300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474.1300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586.2200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393.9500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31.8880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29.9150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376.1300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561.2300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台積電富邦2C售17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296.9400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台積電元大2A售47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346.4400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296.9400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603.7900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29.8060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29.7580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台積電凱基2A售26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296.9400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653.2800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386.0300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29.3190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376.1300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571.1300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454.2100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465.2200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346.4400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492.9300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683.9700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513.7200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355.8400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252.4000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601.8100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636.4500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28.8400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509.7600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28.1600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702.7700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396.9200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476.1100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498.8700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465.2200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434.5300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446.9100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425.6300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536.4800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28.4900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499.8600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274.6800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679.0100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435.5200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262.3000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472.1500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489.9600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479.5700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598.8400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640.4100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653.2800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434.5300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29.5500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769.0900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267.2500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34.4600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346.4400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395.9300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786.9000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789.8800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559.2500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33.4900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29.8670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598.8400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27.5050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27.3240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682.9700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509.7600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29.4500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769.0900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622.6000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台積電元大2B售47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511.7400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台積電元大2B購44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652.2900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667.1400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455.3200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台積電國票2B售08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504.8100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559.2500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588.9500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678.0300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台積電凱基2B售24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841.3500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778.7900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603.7900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台積電統一35售05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651.3000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752.2700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811.6500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277.1500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604.8900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592.7800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台積電統一32售05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296.9400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405.8300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841.3500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829.4600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529.5600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827.4900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817.5900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503.8200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702.7700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878.9600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439.4800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699.1000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28.8180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795.5600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684.1800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795.5600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856.2300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台積電元大2C購34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638.4400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台積電元大31購25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729.9300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865.1800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29.7970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29.7480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765.7300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台積電凱基2C購28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666.2800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台積電凱基31售18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657.0200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805.5100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604.6300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台積電凱基32購10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626.5100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28.4490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28.4630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626.5100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601.6500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26.9470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26.9990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626.5100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682.3600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645.4000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584.7400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台積電第一47購01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32.8600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31.8600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517.1200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29.0290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27.7460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584.7400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586.7300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805.5100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606.6200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348.0600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472.3700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571.8100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台積電元富32購09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537.0100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571.8100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台積電凱基33購09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507.1700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28.7560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576.7800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27.5570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606.6200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615.5700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571.8100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617.5600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629.8200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台積電凱基49購01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559.4500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台積電統一41購01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631.4800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371.9300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26.4470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795.5600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台積電群益34售07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621.5300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26.9970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台積電第一38購01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27.4610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654.3800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台積電麥證33購09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台積電永豐38購01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台積電元大33購23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26.5170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台積電國票34售07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台積電群益33購14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台積電群益37購04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台積電兆豐38售01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台積電凱基46購01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台積電康和34售01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台積電法興34購02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台積電元富4A購01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台積電台新35購01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台積電富邦34購05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台積電中信35購05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台積電元富3A購01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26.5150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台積電國泰36購02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26.5280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台積電康和34購02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台積電統一3A購02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台積電統一41購02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台積電麥證34購07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台積電元大34購20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台積電元大39購04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台積電凱基36售09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台積電凱基38購01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lastRenderedPageBreak/>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87</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-11,362,741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-11,774,574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-12,192,920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-12,617,218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-13,046,965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-4,654,982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-5,138,466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-5,623,077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-6,108,688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-6,595,185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-482,076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-957,519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-1,433,222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-1,909,139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-2,385,230</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748,040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376,606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-381,323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-766,953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-776,153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-990,269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-1,214,694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-1,448,849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-1,692,173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-4,248,917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-4,330,810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-4,421,963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-4,522,374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-4,631,979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-8,676,092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-8,693,825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-8,715,582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-8,741,753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-8,772,692</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237,000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234,000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234,000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231,000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231,000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195,000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195,000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192,000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192,000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192,000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141,000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144,000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144,000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144,000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147,000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87,000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87,000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93,000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96,000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39,000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51,000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21,000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lastRenderedPageBreak/>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lastRenderedPageBreak/>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10</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4</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10</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6</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12596</Words>
  <Characters>4067</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5</cp:revision>
  <cp:lastPrinted>2019-11-19T10:17:00Z</cp:lastPrinted>
  <dcterms:created xsi:type="dcterms:W3CDTF">2023-03-22T01:24:00Z</dcterms:created>
  <dcterms:modified xsi:type="dcterms:W3CDTF">2023-07-13T10:28:00Z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